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4" w:rsidRPr="004F42AB" w:rsidRDefault="00D71E74" w:rsidP="00D71E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Biểu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mẫu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01</w:t>
      </w:r>
    </w:p>
    <w:p w:rsidR="00D71E74" w:rsidRPr="00D233C6" w:rsidRDefault="00D71E74" w:rsidP="00D71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233C6">
        <w:rPr>
          <w:rFonts w:ascii="Times New Roman" w:eastAsia="Times New Roman" w:hAnsi="Times New Roman" w:cs="Times New Roman"/>
          <w:b/>
          <w:sz w:val="28"/>
          <w:szCs w:val="28"/>
        </w:rPr>
        <w:t xml:space="preserve"> ỦY BAN NHÂN DÂN QUẬN 5 </w:t>
      </w:r>
    </w:p>
    <w:p w:rsidR="00D71E74" w:rsidRPr="00D233C6" w:rsidRDefault="00D71E74" w:rsidP="00D71E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33C6">
        <w:rPr>
          <w:rFonts w:ascii="Times New Roman" w:eastAsia="Times New Roman" w:hAnsi="Times New Roman" w:cs="Times New Roman"/>
          <w:b/>
          <w:sz w:val="28"/>
          <w:szCs w:val="28"/>
        </w:rPr>
        <w:t>TRƯỜNG MẦM NON 13</w:t>
      </w:r>
    </w:p>
    <w:p w:rsidR="00D71E74" w:rsidRPr="004F42AB" w:rsidRDefault="00D71E74" w:rsidP="00D71E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THÔNG BÁO</w:t>
      </w:r>
    </w:p>
    <w:p w:rsidR="00D71E74" w:rsidRPr="004F42AB" w:rsidRDefault="00D71E74" w:rsidP="00D71E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Cam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kết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chất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lượng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giáo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dục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của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cơ</w:t>
      </w:r>
      <w:proofErr w:type="spellEnd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ở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mầm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non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2021 -2022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562"/>
        <w:gridCol w:w="2552"/>
        <w:gridCol w:w="5245"/>
        <w:gridCol w:w="4819"/>
      </w:tblGrid>
      <w:tr w:rsidR="009D1BE1" w:rsidTr="00F43D9A">
        <w:tc>
          <w:tcPr>
            <w:tcW w:w="562" w:type="dxa"/>
          </w:tcPr>
          <w:p w:rsidR="00F43D9A" w:rsidRDefault="00F43D9A" w:rsidP="009D1B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9D1BE1" w:rsidRPr="009D1BE1" w:rsidRDefault="009D1BE1" w:rsidP="009D1BE1">
            <w:pPr>
              <w:jc w:val="center"/>
              <w:rPr>
                <w:b/>
              </w:rPr>
            </w:pPr>
            <w:proofErr w:type="spellStart"/>
            <w:r w:rsidRPr="009D1BE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552" w:type="dxa"/>
          </w:tcPr>
          <w:p w:rsidR="00F43D9A" w:rsidRDefault="00F43D9A" w:rsidP="009D1B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9D1BE1" w:rsidRPr="009D1BE1" w:rsidRDefault="009D1BE1" w:rsidP="009D1BE1">
            <w:pPr>
              <w:jc w:val="center"/>
              <w:rPr>
                <w:b/>
              </w:rPr>
            </w:pPr>
            <w:proofErr w:type="spellStart"/>
            <w:r w:rsidRPr="009D1BE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Nội</w:t>
            </w:r>
            <w:proofErr w:type="spellEnd"/>
            <w:r w:rsidRPr="009D1BE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5245" w:type="dxa"/>
          </w:tcPr>
          <w:p w:rsidR="00F43D9A" w:rsidRDefault="00F43D9A" w:rsidP="009D1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BE1" w:rsidRPr="009D1BE1" w:rsidRDefault="009D1BE1" w:rsidP="009D1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819" w:type="dxa"/>
          </w:tcPr>
          <w:p w:rsidR="00F43D9A" w:rsidRDefault="00F43D9A" w:rsidP="009D1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BE1" w:rsidRDefault="009D1BE1" w:rsidP="009D1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</w:p>
          <w:p w:rsidR="00F43D9A" w:rsidRPr="009D1BE1" w:rsidRDefault="00F43D9A" w:rsidP="009D1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BE1" w:rsidTr="00F43D9A">
        <w:tc>
          <w:tcPr>
            <w:tcW w:w="562" w:type="dxa"/>
          </w:tcPr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P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552" w:type="dxa"/>
          </w:tcPr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Default="009D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1" w:rsidRPr="009D1BE1" w:rsidRDefault="009D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chăm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sóc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BE1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5245" w:type="dxa"/>
          </w:tcPr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1.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Chăm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sóc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nuôi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: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đảm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an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toàn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về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thể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chất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thần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dõi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biểu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đồ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khỏe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lần /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1lần/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Uống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vitamin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A 2lần/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- 90 %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khả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vận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phù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F43D9A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Giáo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- 90</w:t>
            </w:r>
            <w:proofErr w:type="gram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proofErr w:type="gram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sự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- 95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thói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quen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tự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vụ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phù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</w:p>
          <w:p w:rsidR="009D1BE1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nghe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hiểu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nói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Biết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diễn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hiểu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biết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qua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gật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đầu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  <w:p w:rsidR="009D1BE1" w:rsidRDefault="00F43D9A" w:rsidP="009D1BE1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bookmarkStart w:id="0" w:name="_GoBack"/>
            <w:bookmarkEnd w:id="0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90%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hiểu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biết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ban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đầu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về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bản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thân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về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con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sự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vật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hiện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tượng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xung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quanh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một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khái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niệm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phù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 w:rsidR="009D1BE1" w:rsidRPr="00A67C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D1BE1" w:rsidRDefault="009D1BE1"/>
        </w:tc>
        <w:tc>
          <w:tcPr>
            <w:tcW w:w="4819" w:type="dxa"/>
          </w:tcPr>
          <w:p w:rsidR="009D1BE1" w:rsidRPr="004F42AB" w:rsidRDefault="009D1BE1" w:rsidP="009D1BE1">
            <w:pPr>
              <w:spacing w:before="12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Chăm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sóc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nuôi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: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đảm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an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toàn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về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thể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chất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thần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dõi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biểu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đồ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khỏe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2lần /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- 98%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thích</w:t>
            </w:r>
            <w:proofErr w:type="spellEnd"/>
            <w:proofErr w:type="gram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vận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- 95%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kỹ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khả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léo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D1BE1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Giáo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: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</w:p>
          <w:p w:rsidR="009D1BE1" w:rsidRPr="00473497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-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90</w:t>
            </w:r>
            <w:proofErr w:type="gram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proofErr w:type="gram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sự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- 98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khả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một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tự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vụ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D1BE1" w:rsidRPr="004F42AB" w:rsidRDefault="009D1BE1" w:rsidP="009D1BE1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98%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chủ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tích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cực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hứng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thú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tự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tin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biết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bày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tỏ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cảm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xúc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ý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kiến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phù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mạnh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dạn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giao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thiện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,chia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sẽ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bạn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bè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chơi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trường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  <w:p w:rsidR="009D1BE1" w:rsidRPr="004F42AB" w:rsidRDefault="009D1BE1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- 95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iểu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sử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tiếp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iết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D1BE1" w:rsidRDefault="009D1BE1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mẫu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biết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từ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F43D9A" w:rsidRPr="004F42AB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9D1BE1" w:rsidRDefault="009D1BE1"/>
        </w:tc>
      </w:tr>
      <w:tr w:rsidR="009D1BE1" w:rsidTr="00F43D9A">
        <w:tc>
          <w:tcPr>
            <w:tcW w:w="562" w:type="dxa"/>
          </w:tcPr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BE1" w:rsidRPr="00F43D9A" w:rsidRDefault="009D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9A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9D1BE1" w:rsidRDefault="00E22F52"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Chương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trình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giáo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mầm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non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của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nhà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trường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thực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5245" w:type="dxa"/>
          </w:tcPr>
          <w:p w:rsidR="00E22F52" w:rsidRPr="0011276F" w:rsidRDefault="00E22F52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Thông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47/2020/TT-BGDĐT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ngày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31/12/2020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GD-ĐT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qui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định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lựa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chọn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đồ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chơi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liệu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sử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cơ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sở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mầm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non</w:t>
            </w: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22F52" w:rsidRPr="0011276F" w:rsidRDefault="00E22F52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50/2020/TT-BGDĐT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31/12/2020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chương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trình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quen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Tiếng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trẻ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mẫu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22F52" w:rsidRPr="0011276F" w:rsidRDefault="00E22F52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51/2020/TT-BGDĐT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13/12/2020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sửa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bổ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sung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một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nội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dung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Chương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trình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mầm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non ban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kèm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theo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17/2009/TT-BGDĐT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25/7/2009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trưởng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đào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sửa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bổ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sung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bởi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28/2016/TT-BGDĐT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30/12/2016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trưởng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đào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22F52" w:rsidRPr="0011276F" w:rsidRDefault="00E22F52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52/2020/TT-BGDĐT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31/12/2020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Điều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lệ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Mầm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non;</w:t>
            </w:r>
          </w:p>
          <w:p w:rsidR="009D1BE1" w:rsidRDefault="009D1BE1"/>
        </w:tc>
        <w:tc>
          <w:tcPr>
            <w:tcW w:w="4819" w:type="dxa"/>
          </w:tcPr>
          <w:p w:rsidR="00E22F52" w:rsidRPr="0011276F" w:rsidRDefault="00E22F52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Thông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tư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47/2020/TT-BGDĐT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ngày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31/12/2020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GD-ĐT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qui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định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lựa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chọn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đồ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chơi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liệu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sử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cơ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sở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dục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mầm</w:t>
            </w:r>
            <w:proofErr w:type="spellEnd"/>
            <w:r w:rsidRPr="001127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non</w:t>
            </w: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22F52" w:rsidRPr="0011276F" w:rsidRDefault="00E22F52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50/2020/TT-BGDĐT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31/12/2020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chương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trình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quen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với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Tiếng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trẻ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mẫu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F43D9A" w:rsidRDefault="00F43D9A" w:rsidP="00E22F52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22F52" w:rsidRPr="0011276F" w:rsidRDefault="00E22F52" w:rsidP="00F43D9A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51/2020/TT-BGDĐT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13/12/2020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sửa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bổ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sung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một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nội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dung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Chương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trình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mầm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non ban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kèm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theo</w:t>
            </w:r>
            <w:proofErr w:type="spellEnd"/>
            <w:r w:rsidR="00F43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43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="00F43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43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="00F43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số17/2009/TT-BGDĐT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25/7/2009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trưởng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đào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sửa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đổi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bổ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sung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bởi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28/2016/TT-BGDĐT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30/12/2016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trưởng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Bộ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đào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tạo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F43D9A" w:rsidRDefault="00F43D9A" w:rsidP="00F43D9A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22F52" w:rsidRPr="0011276F" w:rsidRDefault="00E22F52" w:rsidP="00F43D9A">
            <w:pPr>
              <w:spacing w:before="120" w:line="33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Thông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52/2020/TT-BGDĐT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ngày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31/12/2020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Điều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lệ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Mầm</w:t>
            </w:r>
            <w:proofErr w:type="spellEnd"/>
            <w:r w:rsidRPr="001127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non;</w:t>
            </w:r>
          </w:p>
          <w:p w:rsidR="009D1BE1" w:rsidRDefault="009D1BE1"/>
        </w:tc>
      </w:tr>
      <w:tr w:rsidR="009D1BE1" w:rsidTr="00F43D9A">
        <w:tc>
          <w:tcPr>
            <w:tcW w:w="562" w:type="dxa"/>
          </w:tcPr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BE1" w:rsidRPr="00F43D9A" w:rsidRDefault="00FD7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9A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552" w:type="dxa"/>
          </w:tcPr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D9A" w:rsidRDefault="00F43D9A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BE1" w:rsidRPr="00FD76FD" w:rsidRDefault="00FD76FD" w:rsidP="00FD7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trên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trên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76F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5245" w:type="dxa"/>
          </w:tcPr>
          <w:p w:rsidR="00E22F52" w:rsidRPr="002529CB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95%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sự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252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</w:p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90 %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thể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chất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94 %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cảm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kỹ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năng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xã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90 %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ngôn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D1BE1" w:rsidRDefault="00E22F52" w:rsidP="00E22F5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87 %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22F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819" w:type="dxa"/>
          </w:tcPr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ind w:left="284" w:hanging="2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96 %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sự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trong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: </w:t>
            </w:r>
          </w:p>
          <w:p w:rsidR="00E22F52" w:rsidRPr="00FA7C3E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ind w:left="284" w:hanging="2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99.2%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bé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99. 5%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nhỡ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98%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thể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chất</w:t>
            </w:r>
            <w:proofErr w:type="spellEnd"/>
            <w:r w:rsidRPr="00FA7C3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- 99.5</w:t>
            </w: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, 97%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96,5 %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tình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ảm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hội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- 96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,4</w:t>
            </w:r>
            <w:proofErr w:type="gram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, 95,2 %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93,5</w:t>
            </w: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ngữ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E22F52" w:rsidRPr="007E1FC7" w:rsidRDefault="00E22F52" w:rsidP="00E22F52">
            <w:pPr>
              <w:pStyle w:val="ListParagraph"/>
              <w:numPr>
                <w:ilvl w:val="0"/>
                <w:numId w:val="1"/>
              </w:numPr>
              <w:spacing w:before="120" w:after="0" w:line="33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- 92</w:t>
            </w:r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bé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96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nhỡ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94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,5</w:t>
            </w:r>
            <w:proofErr w:type="gram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proofErr w:type="spellStart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 w:rsidRPr="007E1F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  <w:p w:rsidR="00E22F52" w:rsidRPr="0017683A" w:rsidRDefault="00E22F52" w:rsidP="00E22F52">
            <w:pPr>
              <w:pStyle w:val="ListParagraph"/>
              <w:spacing w:before="120" w:after="0" w:line="330" w:lineRule="atLeast"/>
              <w:ind w:left="7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92%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bé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91%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nhỡ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94</w:t>
            </w:r>
            <w:proofErr w:type="gram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,5</w:t>
            </w:r>
            <w:proofErr w:type="gram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%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MG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lớn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lĩnh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vực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phát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triển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thẩm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mỹ</w:t>
            </w:r>
            <w:proofErr w:type="spellEnd"/>
            <w:r w:rsidRPr="0017683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  <w:p w:rsidR="009D1BE1" w:rsidRDefault="009D1BE1"/>
        </w:tc>
      </w:tr>
      <w:tr w:rsidR="00FD76FD" w:rsidTr="00F43D9A">
        <w:tc>
          <w:tcPr>
            <w:tcW w:w="562" w:type="dxa"/>
          </w:tcPr>
          <w:p w:rsidR="00FD76FD" w:rsidRPr="00F43D9A" w:rsidRDefault="00FD7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D9A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552" w:type="dxa"/>
          </w:tcPr>
          <w:p w:rsidR="00FD76FD" w:rsidRDefault="00FD76FD" w:rsidP="00FD76FD">
            <w:pPr>
              <w:jc w:val="both"/>
            </w:pP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hoạt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động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hỗ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trợ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chăm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sóc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giáo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trẻ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ở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cơ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sở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giáo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mầm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non</w:t>
            </w:r>
          </w:p>
        </w:tc>
        <w:tc>
          <w:tcPr>
            <w:tcW w:w="10064" w:type="dxa"/>
            <w:gridSpan w:val="2"/>
          </w:tcPr>
          <w:p w:rsidR="00FD76FD" w:rsidRPr="004F42AB" w:rsidRDefault="00FD76FD" w:rsidP="00E22F52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13 ,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Ban ĐDCMHS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hổ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FD76FD" w:rsidRPr="004F42AB" w:rsidRDefault="00FD76FD" w:rsidP="00E22F52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quà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cho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bé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</w:p>
          <w:p w:rsidR="00FD76FD" w:rsidRDefault="00FD76FD"/>
        </w:tc>
      </w:tr>
    </w:tbl>
    <w:p w:rsidR="00D71E74" w:rsidRPr="00F43D9A" w:rsidRDefault="00FD76FD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4F42AB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05  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 9 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2021</w:t>
      </w:r>
      <w:r w:rsidRPr="004F42A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Thủ</w:t>
      </w:r>
      <w:proofErr w:type="spellEnd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trưởng</w:t>
      </w:r>
      <w:proofErr w:type="spellEnd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đơn</w:t>
      </w:r>
      <w:proofErr w:type="spellEnd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vị</w:t>
      </w:r>
      <w:proofErr w:type="spellEnd"/>
      <w:r w:rsidRPr="00F43D9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E248FD" w:rsidRDefault="00E248FD"/>
    <w:sectPr w:rsidR="00E248FD" w:rsidSect="00D71E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47C31"/>
    <w:multiLevelType w:val="hybridMultilevel"/>
    <w:tmpl w:val="A36E61E8"/>
    <w:lvl w:ilvl="0" w:tplc="B090F61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4"/>
    <w:rsid w:val="009D1BE1"/>
    <w:rsid w:val="00D71E74"/>
    <w:rsid w:val="00E22F52"/>
    <w:rsid w:val="00E248FD"/>
    <w:rsid w:val="00F43D9A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6583E-5AD1-4432-BABC-68B845E3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F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6</cp:revision>
  <dcterms:created xsi:type="dcterms:W3CDTF">2022-06-16T03:55:00Z</dcterms:created>
  <dcterms:modified xsi:type="dcterms:W3CDTF">2022-06-16T04:11:00Z</dcterms:modified>
</cp:coreProperties>
</file>