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5A63" w14:textId="2BABCC2F" w:rsidR="00CE1FF9" w:rsidRPr="0093610A" w:rsidRDefault="0093610A" w:rsidP="0093610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10A">
        <w:rPr>
          <w:rFonts w:ascii="Times New Roman" w:eastAsia="Times New Roman" w:hAnsi="Times New Roman" w:cs="Times New Roman"/>
          <w:b/>
          <w:sz w:val="28"/>
          <w:szCs w:val="28"/>
        </w:rPr>
        <w:t>KỶ NIỆM 93 NĂM NGÀY TRUYỀN THỐNG CÔNG TÁC DÂN VẬN CỦA ĐẢNG (15/10/1930 - 15/10/2023) VÀ 24 NĂM NGÀY DÂN VẬN CỦA CẢ NƯỚC (15/10/1999 - 15/10/2024)</w:t>
      </w:r>
    </w:p>
    <w:p w14:paraId="0F604123" w14:textId="72422B73" w:rsidR="00B662CD" w:rsidRPr="00B662CD" w:rsidRDefault="00000000" w:rsidP="00B662C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Tác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phẩm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“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Dân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vận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”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của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Chủ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tịch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Hồ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Chí Minh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và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ý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nghĩa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đối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với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công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tác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dân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vận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của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Đảng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proofErr w:type="spellStart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hiện</w:t>
        </w:r>
        <w:proofErr w:type="spellEnd"/>
        <w:r w:rsidR="00B662CD" w:rsidRPr="00B662C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 xml:space="preserve"> nay</w:t>
        </w:r>
      </w:hyperlink>
    </w:p>
    <w:p w14:paraId="7AAFA5E4" w14:textId="53767D2B" w:rsidR="00B662CD" w:rsidRDefault="00583C03" w:rsidP="00B662CD">
      <w:pP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37874" wp14:editId="3B2D66F4">
            <wp:simplePos x="0" y="0"/>
            <wp:positionH relativeFrom="column">
              <wp:posOffset>69850</wp:posOffset>
            </wp:positionH>
            <wp:positionV relativeFrom="paragraph">
              <wp:posOffset>1511300</wp:posOffset>
            </wp:positionV>
            <wp:extent cx="5943600" cy="2501900"/>
            <wp:effectExtent l="0" t="0" r="0" b="0"/>
            <wp:wrapSquare wrapText="bothSides"/>
            <wp:docPr id="1166046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4670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Sinh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tịch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Hồ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Chí Minh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luôn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khẳng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vận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quần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chúng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chiến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lược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bại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mạng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tưởng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đó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đăng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Báo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thật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120,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15-10-1949,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bút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danh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X.Y.Z.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Hơn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70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trôi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qua,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vẫn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còn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nguyên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luận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tiễn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sâu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sắc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đặc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biệt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trọng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vận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Đảng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B662CD"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nay.</w:t>
      </w:r>
    </w:p>
    <w:p w14:paraId="2E808C6E" w14:textId="2D54FF62" w:rsidR="00583C03" w:rsidRDefault="00583C03" w:rsidP="00B662CD">
      <w:pP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3C0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CB3A88" wp14:editId="721B6A4D">
            <wp:simplePos x="0" y="0"/>
            <wp:positionH relativeFrom="column">
              <wp:posOffset>82550</wp:posOffset>
            </wp:positionH>
            <wp:positionV relativeFrom="paragraph">
              <wp:posOffset>2381885</wp:posOffset>
            </wp:positionV>
            <wp:extent cx="3016250" cy="2717800"/>
            <wp:effectExtent l="0" t="0" r="0" b="6350"/>
            <wp:wrapSquare wrapText="bothSides"/>
            <wp:docPr id="2033612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D58CD2" wp14:editId="40FA4DE3">
            <wp:simplePos x="0" y="0"/>
            <wp:positionH relativeFrom="column">
              <wp:posOffset>3263900</wp:posOffset>
            </wp:positionH>
            <wp:positionV relativeFrom="paragraph">
              <wp:posOffset>2600960</wp:posOffset>
            </wp:positionV>
            <wp:extent cx="2838450" cy="2495550"/>
            <wp:effectExtent l="0" t="0" r="0" b="0"/>
            <wp:wrapSquare wrapText="bothSides"/>
            <wp:docPr id="681951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518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66067" w14:textId="7A8510F3" w:rsidR="00583C03" w:rsidRDefault="00583C03" w:rsidP="00B662CD">
      <w:pP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E83F46" wp14:editId="5E3BE7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9100"/>
            <wp:effectExtent l="0" t="0" r="0" b="0"/>
            <wp:wrapSquare wrapText="bothSides"/>
            <wp:docPr id="427908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085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C154A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16497C4C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1949,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Pháp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5-1949, Pháp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Rơ-ve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lang Đông - Tây: Hải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Hoà Bình - Sơn La,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Việt Bắc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Tây Bắc.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Báo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Báo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Cứu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Báo Quân du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,…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cứu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612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15-10-1949,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“X.Y.Z”.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321CDE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gay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lastRenderedPageBreak/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?;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?;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(1)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A3F66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: “NƯỚC TA LÀ NƯỚC DÂN CHỦ. Bao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Bao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 Công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do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cử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ra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Đoàn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do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Nói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đều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ở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nơi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Việt Nam.</w:t>
      </w:r>
    </w:p>
    <w:p w14:paraId="57AF0239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?”,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ý,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thích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ràng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: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51A33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III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“Ai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?”,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sát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ủ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, v.v.</w:t>
      </w:r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</w:rPr>
        <w:t>.”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tai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Báo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28-9-1945,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nhịn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ăn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bữa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nhịn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bữa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Đem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gạo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bữa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bơ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cứu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nghèo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6)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AFA09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4.0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xu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25-NQ/TW,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3-6-2013,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XI,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kênh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lastRenderedPageBreak/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xói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6E723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E0894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: 1-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2-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3- Phương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4- Công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Việt Nam,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5-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khoa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BC797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lastRenderedPageBreak/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Hai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Ba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Bốn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an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Việt Nam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Sáu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Việt Nam,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Bảy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B4E40A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đắn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niềm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góp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XII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sở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XIII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ra.</w:t>
      </w:r>
      <w:proofErr w:type="spellEnd"/>
    </w:p>
    <w:p w14:paraId="4F9D3AF5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Những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”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gian</w:t>
      </w:r>
      <w:proofErr w:type="spellEnd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tới</w:t>
      </w:r>
      <w:proofErr w:type="spellEnd"/>
    </w:p>
    <w:p w14:paraId="5DEBB56C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9BEA12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14:paraId="166F755B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Thứ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hai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lãnh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châm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phù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tiễn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Việt Nam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CF5DC1B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ba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2C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9CC8E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F927C6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Thứ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năm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Việt Nam,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hằng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27795A5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gắn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05- CT/TW,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15-5-2016,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khóa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XII, </w:t>
      </w:r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Về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đẩy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mạnh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học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làm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theo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tư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tưởng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đạo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đức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phong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cách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Chí Minh”,</w:t>
      </w:r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XIII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./.</w:t>
      </w:r>
    </w:p>
    <w:p w14:paraId="00B4B60F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-------------------------------</w:t>
      </w:r>
    </w:p>
    <w:p w14:paraId="2FB90C22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>, 2011, t. 6, tr. 232</w:t>
      </w:r>
    </w:p>
    <w:p w14:paraId="69132E0C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Sđd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t. 6, tr. 232 - 233</w:t>
      </w:r>
    </w:p>
    <w:p w14:paraId="1FDA6275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Sđd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t. 6, tr. 232 - 233</w:t>
      </w:r>
    </w:p>
    <w:p w14:paraId="17FFE771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(4)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Sđd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t. 6, tr. 233</w:t>
      </w:r>
    </w:p>
    <w:p w14:paraId="4F5E91B9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(5)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Sđd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t. 6, tr. 233 - 234</w:t>
      </w:r>
    </w:p>
    <w:p w14:paraId="7A093E78" w14:textId="77777777" w:rsidR="00B662CD" w:rsidRPr="00B662CD" w:rsidRDefault="00B662CD" w:rsidP="00B662C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(6) </w:t>
      </w:r>
      <w:proofErr w:type="spellStart"/>
      <w:r w:rsidRPr="00B662C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662CD">
        <w:rPr>
          <w:rFonts w:ascii="Times New Roman" w:eastAsia="Times New Roman" w:hAnsi="Times New Roman" w:cs="Times New Roman"/>
          <w:sz w:val="28"/>
          <w:szCs w:val="28"/>
        </w:rPr>
        <w:t xml:space="preserve"> Chí Minh: 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Sđd</w:t>
      </w:r>
      <w:proofErr w:type="spellEnd"/>
      <w:r w:rsidRPr="00B662C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62CD">
        <w:rPr>
          <w:rFonts w:ascii="Times New Roman" w:eastAsia="Times New Roman" w:hAnsi="Times New Roman" w:cs="Times New Roman"/>
          <w:sz w:val="28"/>
          <w:szCs w:val="28"/>
        </w:rPr>
        <w:t> t. 4, tr. 33</w:t>
      </w:r>
    </w:p>
    <w:p w14:paraId="4FAE80BF" w14:textId="77777777" w:rsidR="00B662CD" w:rsidRPr="0007341E" w:rsidRDefault="00B662CD" w:rsidP="00B662CD">
      <w:pPr>
        <w:rPr>
          <w:rFonts w:ascii="Times New Roman" w:hAnsi="Times New Roman" w:cs="Times New Roman"/>
          <w:sz w:val="28"/>
          <w:szCs w:val="28"/>
        </w:rPr>
      </w:pPr>
      <w:r w:rsidRPr="0007341E">
        <w:rPr>
          <w:rFonts w:ascii="Times New Roman" w:hAnsi="Times New Roman" w:cs="Times New Roman"/>
          <w:sz w:val="28"/>
          <w:szCs w:val="28"/>
        </w:rPr>
        <w:t>TS. LÊ VĂN HỘI</w:t>
      </w:r>
    </w:p>
    <w:p w14:paraId="748E02AA" w14:textId="77777777" w:rsidR="00AF2F66" w:rsidRPr="0007341E" w:rsidRDefault="00B662CD" w:rsidP="00B662CD">
      <w:pPr>
        <w:rPr>
          <w:rFonts w:ascii="Times New Roman" w:hAnsi="Times New Roman" w:cs="Times New Roman"/>
          <w:sz w:val="28"/>
          <w:szCs w:val="28"/>
        </w:rPr>
      </w:pPr>
      <w:r w:rsidRPr="0007341E">
        <w:rPr>
          <w:rFonts w:ascii="Times New Roman" w:hAnsi="Times New Roman" w:cs="Times New Roman"/>
          <w:sz w:val="28"/>
          <w:szCs w:val="28"/>
        </w:rPr>
        <w:t xml:space="preserve">Khoa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, Học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Báo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07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1E">
        <w:rPr>
          <w:rFonts w:ascii="Times New Roman" w:hAnsi="Times New Roman" w:cs="Times New Roman"/>
          <w:sz w:val="28"/>
          <w:szCs w:val="28"/>
        </w:rPr>
        <w:t>truyền</w:t>
      </w:r>
      <w:proofErr w:type="spellEnd"/>
    </w:p>
    <w:sectPr w:rsidR="00AF2F66" w:rsidRPr="0007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F"/>
    <w:rsid w:val="0007341E"/>
    <w:rsid w:val="00583C03"/>
    <w:rsid w:val="00705C9F"/>
    <w:rsid w:val="008870D5"/>
    <w:rsid w:val="0093610A"/>
    <w:rsid w:val="00AF2F66"/>
    <w:rsid w:val="00B662CD"/>
    <w:rsid w:val="00C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2BA4"/>
  <w15:chartTrackingRefBased/>
  <w15:docId w15:val="{CDD3CBA8-541C-4FC0-9CAC-278F95D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0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tapchicongsan.org.vn/web/guest/nghien-cu/-/2018/821308/tac-pham-%E2%80%9Cdan-van%E2%80%9D-cua-chu-tich-ho-chi-minh-va-y-nghia-doi-voi-cong-tac-dan-van-cua-dang-hien-nay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2023-10-09T01:21:00Z</dcterms:created>
  <dcterms:modified xsi:type="dcterms:W3CDTF">2023-10-09T01:21:00Z</dcterms:modified>
</cp:coreProperties>
</file>