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F4207" w14:textId="5411F83F" w:rsidR="001C2B99" w:rsidRPr="001C2B99" w:rsidRDefault="001C2B99" w:rsidP="001C2B99">
      <w:pPr>
        <w:jc w:val="center"/>
        <w:rPr>
          <w:rFonts w:ascii="Times New Roman" w:hAnsi="Times New Roman" w:cs="Times New Roman"/>
          <w:b/>
          <w:bCs/>
          <w:sz w:val="26"/>
          <w:szCs w:val="26"/>
        </w:rPr>
      </w:pPr>
      <w:bookmarkStart w:id="0" w:name="_GoBack"/>
      <w:bookmarkEnd w:id="0"/>
      <w:r w:rsidRPr="001C2B99">
        <w:rPr>
          <w:rFonts w:ascii="Times New Roman" w:hAnsi="Times New Roman" w:cs="Times New Roman"/>
          <w:b/>
          <w:bCs/>
          <w:sz w:val="26"/>
          <w:szCs w:val="26"/>
        </w:rPr>
        <w:t>NHỮNG ĐIỂM MỚI CƠ BẢN CỦA LUẬT GIÁO DỤC 2019</w:t>
      </w:r>
    </w:p>
    <w:p w14:paraId="4C1A6F94" w14:textId="799BC84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1. Giáo viên cấp 1, 2, 3 đều phải có bằng đại học trở lên</w:t>
      </w:r>
    </w:p>
    <w:p w14:paraId="2D375B35"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Điều 72 Luật Giáo dục 2019 quy định, trình độ chuẩn được đào tạo của nhà giáo như sau:</w:t>
      </w:r>
    </w:p>
    <w:p w14:paraId="47076EB3"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Có bằng tốt nghiệp cao đẳng sư phạm trở lên đối với giáo viên mầm non;</w:t>
      </w:r>
    </w:p>
    <w:p w14:paraId="2DE05F3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Có bằng cử nhân thuộc ngành đào tạo giáo viên trở lên đối với giáo viên tiểu học, trung học cơ sở, trung học phổ thông.</w:t>
      </w:r>
    </w:p>
    <w:p w14:paraId="7F05E99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Trường hợp môn học chưa đủ giáo viên có bằng cử nhân thuộc ngành đào tạo giáo viên thì phải có bằng cử nhân chuyên ngành phù hợp và có chứng chỉ bồi dưỡng nghiệp vụ sư phạm;</w:t>
      </w:r>
    </w:p>
    <w:p w14:paraId="5888B2CB"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Có bằng thạc sĩ đối với nhà giáo giảng dạy trình độ đại học; có bằng tiến sĩ đối với nhà giáo giảng dạy, hướng dẫn luận văn thạc sĩ, luận án tiến sĩ.</w:t>
      </w:r>
    </w:p>
    <w:p w14:paraId="27240DA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Như vậy,  giáo viên tiểu học (cấp 1), trung học cơ sở (cấp 2), trung học phổ thông (cấp 3) được quy định chuẩn trình độ đào tạo là từ đại học trở lên.</w:t>
      </w:r>
    </w:p>
    <w:p w14:paraId="05681731"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So với quy định hiện hành tại Luật giáo dục 2005 thì Luật mới đã thay đổi về chuẩn trình độ với giáo viên cấp 1 và cấp 2 như sau:</w:t>
      </w:r>
    </w:p>
    <w:p w14:paraId="2E71040A"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Giáo viên tiểu học: Từ “Có bằng tốt nghiệp trung cấp sư phạm” nâng lên thành “Có bằng cử nhân thuộc ngành đào tạo giáo viên trở lên”;</w:t>
      </w:r>
    </w:p>
    <w:p w14:paraId="7291D44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Giáo viên trung học cơ sở: Từ “Có bằng tốt nghiệp cao đẳng sư phạm hoặc có bằng tốt nghiệp cao đẳng và có chứng chỉ bồi dưỡng nghiệp vụ sư phạm” nâng lên thành “Có bằng cử nhân thuộc ngành đào tạo giáo viên trở lên hoặc có bằng cử nhân chuyên ngành phù hợp và có chứng chỉ bồi dưỡng nghiệp vụ sư phạm”.</w:t>
      </w:r>
    </w:p>
    <w:p w14:paraId="1E604B27" w14:textId="151676F1"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Với những giáo viên hiện tại không đủ chuẩn sẽ được phân nhóm để yêu cầu nâng chuẩn</w:t>
      </w:r>
    </w:p>
    <w:p w14:paraId="19DC7254"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2. Không bắt buộc tất cả giáo viên tiểu học có bằng sư phạm</w:t>
      </w:r>
    </w:p>
    <w:p w14:paraId="391AC06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Điều 77 Luật giáo dục 2005 quy định trình độ chuẩn của giáo viên tiểu học đó là “Có bằng tốt nghiệp trung cấp sư phạm”, điều này có nghĩa giáo viên tiểu học bắt buộc phải có bằng sư phạm (được đào tạo chuyên ngành giáo viên).</w:t>
      </w:r>
    </w:p>
    <w:p w14:paraId="24D90F28"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Tuy nhiên, Luật giáo dục 2019 (có hiệu lực từ ngày 01/7/2020) đã có thay đổi quy định về trình độ chuẩn của giáo viên tiểu học đó là:</w:t>
      </w:r>
    </w:p>
    <w:p w14:paraId="18981A5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Có bằng cử nhân thuộc ngành đào tạo giáo viên trở lên đối với giáo viên tiểu học; trường hợp môn học chưa đủ giáo viên có bằng cử nhân thuộc ngành đào tạo giáo viên thì phải có bằng cử nhân chuyên ngành phù hợp và có chứng chỉ bồi dưỡng nghiệp vụ sư phạm.</w:t>
      </w:r>
    </w:p>
    <w:p w14:paraId="1E3681A0" w14:textId="77777777" w:rsidR="001C2B99" w:rsidRPr="001C2B99" w:rsidRDefault="001C2B99" w:rsidP="001C2B99">
      <w:pPr>
        <w:rPr>
          <w:rFonts w:ascii="Times New Roman" w:hAnsi="Times New Roman" w:cs="Times New Roman"/>
          <w:sz w:val="26"/>
          <w:szCs w:val="26"/>
        </w:rPr>
      </w:pPr>
    </w:p>
    <w:p w14:paraId="2C1795B1"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lastRenderedPageBreak/>
        <w:t>Như vậy, kể từ ngày 01/7/2020, không phải tất cả giáo viên tiểu học đều bắt buộc có bằng sư phạm.</w:t>
      </w:r>
    </w:p>
    <w:p w14:paraId="013F499C"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3. Bỏ phụ cấp thâm niên ra khỏi cơ cấu tiền lương của giáo viên</w:t>
      </w:r>
    </w:p>
    <w:p w14:paraId="73F79E9D"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Luật giáo dục 2005 (đã được sửa đổi, bổ sung năm 2009) quy định:</w:t>
      </w:r>
    </w:p>
    <w:p w14:paraId="22BB1758"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Nhà giáo được hưởng tiền lương, phụ cấp ưu đãi theo nghề, phụ cấp thâm niên và các phụ cấp khác theo quy định của Chính phủ.</w:t>
      </w:r>
    </w:p>
    <w:p w14:paraId="5C590794"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Luật Giáo dục 2019 quy định: “Nhà giáo được xếp lương phù hợp với vị trí việc làm và lao động nghề nghiệp; được ưu tiên hưởng phụ cấp đặc thù nghề theo quy định của Chính phủ”.</w:t>
      </w:r>
    </w:p>
    <w:p w14:paraId="23C75EA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Như vậy, theo luật mới thì giáo viên sẽ không còn được hưởng phụ cấp thâm niên như quy định tại Nghị định 54/2011/NĐ-CP ngày 04/7/2011.</w:t>
      </w:r>
    </w:p>
    <w:p w14:paraId="45135E75"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4. Bổ sung nhiều quy định về chính sách khuyến khích, ưu đãi với giáo viên</w:t>
      </w:r>
    </w:p>
    <w:p w14:paraId="131B8B7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So với Luật giáo dục 2005, Luật Giáo dục 2019 bổ sung thêm nhiều quyền lợi cho nhà giáo.</w:t>
      </w:r>
    </w:p>
    <w:p w14:paraId="3350F160"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Cụ thể, dành một điều luật để quy định về chính sách đối với nhà giáo, cụ thể như sau:</w:t>
      </w:r>
    </w:p>
    <w:p w14:paraId="5B0D5C0A"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Một là, nhà nước có chính sách tuyển dụng, sử dụng, đãi ngộ, bảo đảm các điều kiện cần thiết về vật chất và tinh thần để nhà giáo thực hiện vai trò và nhiệm vụ của mình.</w:t>
      </w:r>
    </w:p>
    <w:p w14:paraId="0F6A5F54"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Hai là,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14:paraId="3B3B7747"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Ba là, nhà nước có chính sách khuyến khích, ưu đãi về chế độ phụ cấp và các chính sách khác đối với nhà giáo công tác tại vùng có điều kiện kinh tế - xã hội đặc biệt khó khăn.</w:t>
      </w:r>
    </w:p>
    <w:p w14:paraId="20093910"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5. Quy định trường hợp cử nhân sư phạm phải hoàn trả học phí</w:t>
      </w:r>
    </w:p>
    <w:p w14:paraId="1CDED14A"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Đây là quy định hoàn toàn mới so với Luật Giáo dục 2005, theo đó:</w:t>
      </w:r>
    </w:p>
    <w:p w14:paraId="1547B29B"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Học sinh, sinh viên sư phạm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w:t>
      </w:r>
    </w:p>
    <w:p w14:paraId="3E9C25DF"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Thời hạn hoàn trả tối đa bằng thời gian đào tạo.</w:t>
      </w:r>
    </w:p>
    <w:p w14:paraId="5F2CE2E7" w14:textId="77777777" w:rsid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6. Cấm giáo viên, giảng viên hút thuốc trong trường học</w:t>
      </w:r>
    </w:p>
    <w:p w14:paraId="21995E4B" w14:textId="3C7B3F01"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sz w:val="26"/>
          <w:szCs w:val="26"/>
        </w:rPr>
        <w:lastRenderedPageBreak/>
        <w:t>Đây là nội dung mới đáng chú ý, bởi hiện hành, tại Luật Giáo dục 2005 chỉ quy định về việc nghiêm cấm người học hút thuốc, uống rượu, bia trong giờ học mà không đề cập đến giáo viên, giảng viên.</w:t>
      </w:r>
    </w:p>
    <w:p w14:paraId="410BC932"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Nay tại Điều 22, Luật Giáo dục 2019 quy định hút thuốc là hành vi bị nghiêm cấm trong cơ sở giáo dục không phân biệt đối tượng nào.</w:t>
      </w:r>
    </w:p>
    <w:p w14:paraId="3140F6E4"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7. Sẽ có lộ trình miễn học phí cho trẻ mầm non và học sinh THCS</w:t>
      </w:r>
    </w:p>
    <w:p w14:paraId="244C6837"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Ngoài việc miễn học phí cho học sinh tiểu học trong cơ sở giáo dục công lập và trẻ em mầm non 05 tuổi ở thôn, xã đặc biệt khó khăn, vùng đồng bào dân tộc thiểu số, vùng sâu, vùng xa, vùng bãi ngang ven biển, hải đảo được miễn học phí; Luật Giáo dục 2019  còn đưa ra quy định về lộ trình miễn học phí cho các đối tượng khác.</w:t>
      </w:r>
    </w:p>
    <w:p w14:paraId="0F95E00C"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Cụ thể, trẻ em mầm non 05 tuổi không thuộc đối tượng quy định nêu trên và học sinh trung học cơ sở được miễn học phí theo lộ trình do Chính phủ quy định.</w:t>
      </w:r>
    </w:p>
    <w:p w14:paraId="1BC1EA9D"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8. Trượt tốt nghiệp THPT được xác nhận hoàn thành chương trình</w:t>
      </w:r>
    </w:p>
    <w:p w14:paraId="79523863"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Đây là quy định mới tại Luật Giáo dục 2019, theo đó:</w:t>
      </w:r>
    </w:p>
    <w:p w14:paraId="51AF06D1"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14:paraId="5E688F3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3F3FEFEA"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9. Mỗi môn học phổ thông sẽ có một hoặc một số sách giáo khoa</w:t>
      </w:r>
    </w:p>
    <w:p w14:paraId="12E3AD5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Mỗi môn học có một hoặc một số sách giáo khoa; thực hiện xã hội hóa việc biên soạn sách giáo khoa; việc xuất bản sách giáo khoa thực hiện theo quy định của pháp luật.</w:t>
      </w:r>
    </w:p>
    <w:p w14:paraId="6B31D14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Ủy ban nhân dân cấp tỉnh quyết định việc lựa chọn sách giáo khoa sử dụng ổn định trong cơ sở giáo dục phổ thông trên địa bàn theo quy định của Bộ trưởng Bộ Giáo dục và Đào tạo.</w:t>
      </w:r>
    </w:p>
    <w:p w14:paraId="7B0B86AD"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563BA067" w14:textId="77777777" w:rsidR="001C2B99" w:rsidRPr="001C2B99" w:rsidRDefault="001C2B99" w:rsidP="001C2B99">
      <w:pPr>
        <w:rPr>
          <w:rFonts w:ascii="Times New Roman" w:hAnsi="Times New Roman" w:cs="Times New Roman"/>
          <w:b/>
          <w:bCs/>
          <w:sz w:val="26"/>
          <w:szCs w:val="26"/>
        </w:rPr>
      </w:pPr>
      <w:r w:rsidRPr="001C2B99">
        <w:rPr>
          <w:rFonts w:ascii="Times New Roman" w:hAnsi="Times New Roman" w:cs="Times New Roman"/>
          <w:b/>
          <w:bCs/>
          <w:sz w:val="26"/>
          <w:szCs w:val="26"/>
        </w:rPr>
        <w:t>10. 03 trường hợp văn bằng nước ngoài được công nhận</w:t>
      </w:r>
    </w:p>
    <w:p w14:paraId="488565E3"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lastRenderedPageBreak/>
        <w:t>Văn bằng do cơ sở giáo dục nước ngoài cấp được công nhận để sử dụng tại Việt Nam trong trường hợp sau đây:</w:t>
      </w:r>
    </w:p>
    <w:p w14:paraId="35274E9E"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Trường hợp 1: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5192EFFA" w14:textId="77777777" w:rsidR="001C2B99"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Trường hợp 2: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Trường hợp 1.</w:t>
      </w:r>
    </w:p>
    <w:p w14:paraId="4313EF2F" w14:textId="4B0428BD" w:rsidR="00F95C86" w:rsidRPr="001C2B99" w:rsidRDefault="001C2B99" w:rsidP="001C2B99">
      <w:pPr>
        <w:rPr>
          <w:rFonts w:ascii="Times New Roman" w:hAnsi="Times New Roman" w:cs="Times New Roman"/>
          <w:sz w:val="26"/>
          <w:szCs w:val="26"/>
        </w:rPr>
      </w:pPr>
      <w:r w:rsidRPr="001C2B99">
        <w:rPr>
          <w:rFonts w:ascii="Times New Roman" w:hAnsi="Times New Roman" w:cs="Times New Roman"/>
          <w:sz w:val="26"/>
          <w:szCs w:val="26"/>
        </w:rPr>
        <w:t>- Trường hợp 3: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Trường hợp 1.</w:t>
      </w:r>
    </w:p>
    <w:sectPr w:rsidR="00F95C86" w:rsidRPr="001C2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99"/>
    <w:rsid w:val="001C2B99"/>
    <w:rsid w:val="00ED0148"/>
    <w:rsid w:val="00F9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2022-01-05T00:59:00Z</dcterms:created>
  <dcterms:modified xsi:type="dcterms:W3CDTF">2022-01-05T00:59:00Z</dcterms:modified>
</cp:coreProperties>
</file>