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9D" w:rsidRPr="00C9389D" w:rsidRDefault="00C9389D" w:rsidP="00C938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89D">
        <w:rPr>
          <w:rFonts w:ascii="Times New Roman" w:eastAsia="Times New Roman" w:hAnsi="Times New Roman" w:cs="Times New Roman"/>
          <w:b/>
          <w:sz w:val="28"/>
          <w:szCs w:val="28"/>
        </w:rPr>
        <w:t>BỆNH VIÊM MÀNG NÃO MÔ CẦU VÀ CÁCH PHÒNG BỆNH</w:t>
      </w:r>
    </w:p>
    <w:p w:rsidR="00C9389D" w:rsidRPr="00C9389D" w:rsidRDefault="00C9389D" w:rsidP="00C9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   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Viêm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khuẩn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viêm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do Vi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viêm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389D" w:rsidRDefault="00C9389D" w:rsidP="00C9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389D">
        <w:rPr>
          <w:rFonts w:ascii="Times New Roman" w:eastAsia="Times New Roman" w:hAnsi="Times New Roman" w:cs="Times New Roman"/>
          <w:sz w:val="28"/>
          <w:szCs w:val="28"/>
        </w:rPr>
        <w:t>       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Viêm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sớm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vong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sót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nề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tổn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tổn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tạng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thính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Pr="00C9389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9389D" w:rsidRPr="00C9389D" w:rsidRDefault="00C9389D" w:rsidP="00C9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*  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Triệu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chứng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bệnh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viêm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màng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não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mô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</w:p>
    <w:p w:rsidR="00C9389D" w:rsidRPr="00C9389D" w:rsidRDefault="00C9389D" w:rsidP="00C938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89D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37AC41F" wp14:editId="17C28506">
            <wp:simplePos x="0" y="0"/>
            <wp:positionH relativeFrom="margin">
              <wp:align>left</wp:align>
            </wp:positionH>
            <wp:positionV relativeFrom="paragraph">
              <wp:posOffset>949960</wp:posOffset>
            </wp:positionV>
            <wp:extent cx="5610225" cy="5400675"/>
            <wp:effectExtent l="0" t="0" r="9525" b="9525"/>
            <wp:wrapSquare wrapText="bothSides"/>
            <wp:docPr id="3" name="Picture 3" descr="https://thnhatrang.pgdtpthainguyen.edu.vn/upload/s/20171225/2a2b0f0b1f2dc31a544b687c1f2b96fc11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nhatrang.pgdtpthainguyen.edu.vn/upload/s/20171225/2a2b0f0b1f2dc31a544b687c1f2b96fc11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       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quái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ác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nề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chẩn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đoán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trong vòng một ngày.</w:t>
      </w:r>
      <w:r w:rsidRPr="00C9389D">
        <w:rPr>
          <w:rFonts w:ascii="Times New Roman" w:eastAsia="Times New Roman" w:hAnsi="Times New Roman" w:cs="Times New Roman"/>
          <w:sz w:val="28"/>
          <w:szCs w:val="28"/>
        </w:rPr>
        <w:br/>
      </w:r>
      <w:r w:rsidRPr="00C9389D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  <w:proofErr w:type="spellEnd"/>
    </w:p>
    <w:p w:rsidR="00C9389D" w:rsidRPr="00C9389D" w:rsidRDefault="00C9389D" w:rsidP="00C9389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389D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500A9455" wp14:editId="40E96CED">
            <wp:simplePos x="0" y="0"/>
            <wp:positionH relativeFrom="column">
              <wp:posOffset>15240</wp:posOffset>
            </wp:positionH>
            <wp:positionV relativeFrom="paragraph">
              <wp:posOffset>346710</wp:posOffset>
            </wp:positionV>
            <wp:extent cx="5810250" cy="5086350"/>
            <wp:effectExtent l="0" t="0" r="0" b="0"/>
            <wp:wrapSquare wrapText="bothSides"/>
            <wp:docPr id="1" name="Picture 1" descr="https://thnhatrang.pgdtpthainguyen.edu.vn/upload/s/20171225/65c22cc941d7f0eebcae38987268facc13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nhatrang.pgdtpthainguyen.edu.vn/upload/s/20171225/65c22cc941d7f0eebcae38987268facc13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9389D">
        <w:rPr>
          <w:rFonts w:ascii="Times New Roman" w:eastAsia="Times New Roman" w:hAnsi="Times New Roman" w:cs="Times New Roman"/>
          <w:sz w:val="24"/>
          <w:szCs w:val="24"/>
        </w:rPr>
        <w:br/>
      </w:r>
      <w:r w:rsidRPr="00C938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389D" w:rsidRPr="00C9389D" w:rsidRDefault="00C9389D" w:rsidP="00C9389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89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>  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rửa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xà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súc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họng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mũi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họng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93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9389D" w:rsidRDefault="00C9389D" w:rsidP="00C9389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93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9389D" w:rsidRPr="00C9389D" w:rsidRDefault="00C9389D" w:rsidP="00C9389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ở,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9389D" w:rsidRDefault="00C9389D" w:rsidP="00C9389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Tiêm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vác</w:t>
      </w:r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xin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tốt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nhất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phòng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bệnh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viêm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màng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não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Mô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9389D" w:rsidRPr="00C9389D" w:rsidRDefault="00C9389D" w:rsidP="00C9389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6"/>
          <w:szCs w:val="28"/>
        </w:rPr>
      </w:pP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Vắc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xin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phòng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bệnh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viêm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màng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não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mô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Meningo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(A+C)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tiêm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tuổi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lớn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đó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cứ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tiêm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nhắc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lại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lần</w:t>
      </w:r>
      <w:proofErr w:type="spellEnd"/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C9389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      </w:t>
      </w:r>
    </w:p>
    <w:p w:rsidR="00C9389D" w:rsidRPr="00C9389D" w:rsidRDefault="00C9389D" w:rsidP="00C9389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tiêm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vắc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viêm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tiêm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chủng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tiêm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vắc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389D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C9389D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4552"/>
      </w:tblGrid>
      <w:tr w:rsidR="00C9389D" w:rsidRPr="00C9389D" w:rsidTr="00C9389D">
        <w:trPr>
          <w:tblCellSpacing w:w="0" w:type="dxa"/>
          <w:jc w:val="right"/>
        </w:trPr>
        <w:tc>
          <w:tcPr>
            <w:tcW w:w="4520" w:type="dxa"/>
            <w:vAlign w:val="center"/>
            <w:hideMark/>
          </w:tcPr>
          <w:p w:rsidR="00C9389D" w:rsidRPr="00C9389D" w:rsidRDefault="00C9389D" w:rsidP="00C93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9D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                                          </w:t>
            </w:r>
          </w:p>
          <w:p w:rsidR="00C9389D" w:rsidRPr="00C9389D" w:rsidRDefault="00C9389D" w:rsidP="00C93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52" w:type="dxa"/>
            <w:vAlign w:val="center"/>
            <w:hideMark/>
          </w:tcPr>
          <w:p w:rsidR="00C9389D" w:rsidRPr="00C9389D" w:rsidRDefault="00C9389D" w:rsidP="00C938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36D1" w:rsidRDefault="006536D1"/>
    <w:sectPr w:rsidR="006536D1" w:rsidSect="00C9389D">
      <w:pgSz w:w="11907" w:h="16840" w:code="9"/>
      <w:pgMar w:top="1134" w:right="1134" w:bottom="426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9D"/>
    <w:rsid w:val="00036E24"/>
    <w:rsid w:val="006536D1"/>
    <w:rsid w:val="007B3D91"/>
    <w:rsid w:val="00C9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25BB6"/>
  <w15:chartTrackingRefBased/>
  <w15:docId w15:val="{B2095EA1-4E0C-4EEB-BFA1-96AFC9FB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38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nhatrang.pgdtpthainguyen.edu.vn/upload/s/20171225/65c22cc941d7f0eebcae38987268facc13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thnhatrang.pgdtpthainguyen.edu.vn/upload/s/20171225/2a2b0f0b1f2dc31a544b687c1f2b96fc11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2025-05-16T02:33:00Z</dcterms:created>
  <dcterms:modified xsi:type="dcterms:W3CDTF">2025-05-16T02:43:00Z</dcterms:modified>
</cp:coreProperties>
</file>